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1C15" w14:textId="77777777" w:rsidR="00E0552E" w:rsidRDefault="0033655F" w:rsidP="0033655F">
      <w:pPr>
        <w:pStyle w:val="Titre1"/>
      </w:pPr>
      <w:r w:rsidRPr="0033655F">
        <w:t xml:space="preserve">règles à respecter </w:t>
      </w:r>
      <w:r w:rsidR="00E0552E" w:rsidRPr="0033655F">
        <w:t>:</w:t>
      </w:r>
    </w:p>
    <w:p w14:paraId="44811C16" w14:textId="77777777" w:rsidR="0033655F" w:rsidRPr="0033655F" w:rsidRDefault="0033655F" w:rsidP="0033655F"/>
    <w:p w14:paraId="5DEA508D" w14:textId="77777777" w:rsidR="00175B3B" w:rsidRPr="00175B3B" w:rsidRDefault="0033655F" w:rsidP="00175B3B">
      <w:pPr>
        <w:numPr>
          <w:ilvl w:val="0"/>
          <w:numId w:val="11"/>
        </w:numPr>
        <w:rPr>
          <w:b/>
        </w:rPr>
      </w:pPr>
      <w:r w:rsidRPr="0033655F">
        <w:t xml:space="preserve">Chaque enseignant qui effectue une activité scolaire en dehors de l’école doit renseigner la fiche </w:t>
      </w:r>
      <w:r w:rsidRPr="00175B3B">
        <w:rPr>
          <w:b/>
        </w:rPr>
        <w:t>« sortie régulière ou occasionnelle sans nuitée ».</w:t>
      </w:r>
      <w:r w:rsidR="00175B3B" w:rsidRPr="00175B3B">
        <w:t xml:space="preserve"> </w:t>
      </w:r>
      <w:r w:rsidR="00175B3B">
        <w:t>DSDEN60</w:t>
      </w:r>
      <w:r w:rsidR="00175B3B" w:rsidRPr="0077681B">
        <w:t>/</w:t>
      </w:r>
      <w:r w:rsidR="00175B3B">
        <w:t>18</w:t>
      </w:r>
      <w:r w:rsidR="00175B3B" w:rsidRPr="0077681B">
        <w:t>/</w:t>
      </w:r>
      <w:r w:rsidR="00175B3B">
        <w:t>A1</w:t>
      </w:r>
      <w:r w:rsidR="00175B3B">
        <w:t xml:space="preserve">. Elle est présente dans le dossier SORTIE SANS NUITEE envoyée en septembre 2018. Elle est téléchargeable sur le site de la DASEN 60. </w:t>
      </w:r>
    </w:p>
    <w:p w14:paraId="44811C17" w14:textId="2C6FF3D7" w:rsidR="0033655F" w:rsidRPr="00175B3B" w:rsidRDefault="00175B3B" w:rsidP="00175B3B">
      <w:pPr>
        <w:ind w:left="720"/>
        <w:rPr>
          <w:b/>
        </w:rPr>
      </w:pPr>
      <w:hyperlink r:id="rId8" w:history="1">
        <w:r w:rsidRPr="00D8709B">
          <w:rPr>
            <w:rStyle w:val="Lienhypertexte"/>
          </w:rPr>
          <w:t>http://www.ac-amiens.fr/dsden60/418-sorties-scolaires.html</w:t>
        </w:r>
      </w:hyperlink>
    </w:p>
    <w:p w14:paraId="44811C18" w14:textId="77777777" w:rsidR="0033655F" w:rsidRPr="0033655F" w:rsidRDefault="0033655F" w:rsidP="0033655F">
      <w:pPr>
        <w:ind w:left="720"/>
      </w:pPr>
    </w:p>
    <w:p w14:paraId="44811C19" w14:textId="77777777" w:rsidR="0033655F" w:rsidRDefault="0033655F" w:rsidP="0033655F">
      <w:pPr>
        <w:numPr>
          <w:ilvl w:val="0"/>
          <w:numId w:val="11"/>
        </w:numPr>
      </w:pPr>
      <w:r w:rsidRPr="0033655F">
        <w:t>La sortie scolaire sans nuitée relève de l’autorisation du directeur.</w:t>
      </w:r>
    </w:p>
    <w:p w14:paraId="44811C1B" w14:textId="77777777" w:rsidR="0033655F" w:rsidRPr="0033655F" w:rsidRDefault="0033655F" w:rsidP="0033655F">
      <w:pPr>
        <w:ind w:left="720"/>
      </w:pPr>
    </w:p>
    <w:p w14:paraId="44811C1C" w14:textId="394AA42F" w:rsidR="0033655F" w:rsidRDefault="0033655F" w:rsidP="0033655F">
      <w:pPr>
        <w:numPr>
          <w:ilvl w:val="0"/>
          <w:numId w:val="11"/>
        </w:numPr>
      </w:pPr>
      <w:r w:rsidRPr="0033655F">
        <w:t>Le directeur ne peut s’autoriser lui-même à sortir, cette autorisat</w:t>
      </w:r>
      <w:r w:rsidR="00175B3B">
        <w:t>ion relève donc de l’inspecteur(</w:t>
      </w:r>
      <w:proofErr w:type="spellStart"/>
      <w:r w:rsidR="00175B3B">
        <w:t>rice</w:t>
      </w:r>
      <w:proofErr w:type="spellEnd"/>
      <w:r w:rsidR="00175B3B">
        <w:t>)</w:t>
      </w:r>
      <w:r w:rsidRPr="0033655F">
        <w:t xml:space="preserve"> de l’éducation nationale.</w:t>
      </w:r>
    </w:p>
    <w:p w14:paraId="44811C1D" w14:textId="77777777" w:rsidR="0033655F" w:rsidRPr="0033655F" w:rsidRDefault="0033655F" w:rsidP="0033655F">
      <w:pPr>
        <w:ind w:left="720"/>
      </w:pPr>
    </w:p>
    <w:p w14:paraId="44811C1E" w14:textId="77777777" w:rsidR="0033655F" w:rsidRDefault="0033655F" w:rsidP="0033655F">
      <w:pPr>
        <w:numPr>
          <w:ilvl w:val="0"/>
          <w:numId w:val="11"/>
        </w:numPr>
      </w:pPr>
      <w:r w:rsidRPr="0033655F">
        <w:t>Toute fiche de sortie scolaire (pour un partage de responsabilité) doit parvenir à l’inspection de l’éducation nationale au minimum 48 heures avant afin de pouvoir éventuellement demander des modifications.</w:t>
      </w:r>
    </w:p>
    <w:p w14:paraId="44811C1F" w14:textId="77777777" w:rsidR="0033655F" w:rsidRDefault="0033655F" w:rsidP="0033655F">
      <w:pPr>
        <w:pStyle w:val="Paragraphedeliste"/>
      </w:pPr>
    </w:p>
    <w:p w14:paraId="08BA475F" w14:textId="4DCDF11B" w:rsidR="00175B3B" w:rsidRDefault="0033655F" w:rsidP="00175B3B">
      <w:pPr>
        <w:numPr>
          <w:ilvl w:val="0"/>
          <w:numId w:val="11"/>
        </w:numPr>
      </w:pPr>
      <w:r w:rsidRPr="0033655F">
        <w:t xml:space="preserve">En cas de météo incertaine, pour les </w:t>
      </w:r>
      <w:r w:rsidRPr="00175B3B">
        <w:rPr>
          <w:b/>
        </w:rPr>
        <w:t>sorties pédestres ou à bicyclette,</w:t>
      </w:r>
      <w:r w:rsidRPr="0033655F">
        <w:t xml:space="preserve"> s’assurer de l’absence d’alerte.</w:t>
      </w:r>
      <w:r w:rsidR="00175B3B">
        <w:t xml:space="preserve">  (Pour ces sorties spécifiques, il est impératif de contacter le/la CPC EPS pour s’assurer que la règlementation est respectée.</w:t>
      </w:r>
    </w:p>
    <w:p w14:paraId="28D4D778" w14:textId="77777777" w:rsidR="00175B3B" w:rsidRDefault="00175B3B" w:rsidP="00175B3B">
      <w:pPr>
        <w:pStyle w:val="Paragraphedeliste"/>
      </w:pPr>
    </w:p>
    <w:p w14:paraId="68D4051B" w14:textId="15567628" w:rsidR="00175B3B" w:rsidRDefault="00175B3B" w:rsidP="0033655F">
      <w:pPr>
        <w:numPr>
          <w:ilvl w:val="0"/>
          <w:numId w:val="11"/>
        </w:numPr>
      </w:pPr>
      <w:r>
        <w:t xml:space="preserve">La préfecture par l’intermédiaire de l’application </w:t>
      </w:r>
      <w:r w:rsidRPr="00175B3B">
        <w:rPr>
          <w:b/>
        </w:rPr>
        <w:t>RASSEMBLEMENT,</w:t>
      </w:r>
      <w:r>
        <w:t xml:space="preserve"> est informée des regroupements d’élèves et peut mobiliser ainsi les forces de l’ordre en fonction des situations de danger.</w:t>
      </w:r>
    </w:p>
    <w:p w14:paraId="149A61FC" w14:textId="54EB3D78" w:rsidR="00175B3B" w:rsidRPr="0033655F" w:rsidRDefault="00175B3B" w:rsidP="00175B3B"/>
    <w:p w14:paraId="44811C22" w14:textId="77777777" w:rsidR="00E0552E" w:rsidRDefault="00E0552E" w:rsidP="00E0552E">
      <w:pPr>
        <w:rPr>
          <w:b/>
          <w:u w:val="single"/>
        </w:rPr>
      </w:pPr>
    </w:p>
    <w:p w14:paraId="44811C23" w14:textId="77777777" w:rsidR="00E0552E" w:rsidRDefault="00E0552E" w:rsidP="00E0552E">
      <w:pPr>
        <w:rPr>
          <w:b/>
          <w:u w:val="single"/>
        </w:rPr>
      </w:pPr>
    </w:p>
    <w:p w14:paraId="44811C24" w14:textId="77777777" w:rsidR="00E0552E" w:rsidRDefault="0033655F" w:rsidP="0033655F">
      <w:pPr>
        <w:pStyle w:val="Titre1"/>
      </w:pPr>
      <w:r w:rsidRPr="0033655F">
        <w:t xml:space="preserve">Remarques </w:t>
      </w:r>
      <w:r w:rsidR="00E0552E" w:rsidRPr="0033655F">
        <w:t>:</w:t>
      </w:r>
    </w:p>
    <w:p w14:paraId="44811C25" w14:textId="77777777" w:rsidR="0033655F" w:rsidRPr="0033655F" w:rsidRDefault="0033655F" w:rsidP="0033655F"/>
    <w:p w14:paraId="44811C26" w14:textId="77777777" w:rsidR="0033655F" w:rsidRDefault="0033655F" w:rsidP="0033655F">
      <w:pPr>
        <w:numPr>
          <w:ilvl w:val="0"/>
          <w:numId w:val="11"/>
        </w:numPr>
      </w:pPr>
      <w:r w:rsidRPr="0033655F">
        <w:t>Toute activité ayant lieu en horaires scolaires doit être gratuite.</w:t>
      </w:r>
    </w:p>
    <w:p w14:paraId="44811C27" w14:textId="77777777" w:rsidR="0033655F" w:rsidRPr="0033655F" w:rsidRDefault="0033655F" w:rsidP="0033655F">
      <w:pPr>
        <w:ind w:left="720"/>
      </w:pPr>
    </w:p>
    <w:p w14:paraId="44811C28" w14:textId="0B62392B" w:rsidR="0033655F" w:rsidRDefault="0033655F" w:rsidP="0033655F">
      <w:pPr>
        <w:numPr>
          <w:ilvl w:val="0"/>
          <w:numId w:val="11"/>
        </w:numPr>
      </w:pPr>
      <w:r w:rsidRPr="0033655F">
        <w:t>Une participation financière (très modique) peut être demandée si la sortie dép</w:t>
      </w:r>
      <w:r w:rsidR="00175B3B">
        <w:t xml:space="preserve">asse les horaires de classe. </w:t>
      </w:r>
      <w:proofErr w:type="gramStart"/>
      <w:r w:rsidR="00175B3B">
        <w:t>On  vous</w:t>
      </w:r>
      <w:proofErr w:type="gramEnd"/>
      <w:r w:rsidR="00175B3B">
        <w:t xml:space="preserve"> </w:t>
      </w:r>
      <w:r w:rsidRPr="0033655F">
        <w:t xml:space="preserve">rappelle que </w:t>
      </w:r>
      <w:r w:rsidRPr="0033655F">
        <w:rPr>
          <w:u w:val="single"/>
        </w:rPr>
        <w:t>tous</w:t>
      </w:r>
      <w:r w:rsidRPr="0033655F">
        <w:t xml:space="preserve"> les élèves doivent participer aux activités organisées par l’enseignant.</w:t>
      </w:r>
    </w:p>
    <w:p w14:paraId="44811C29" w14:textId="77777777" w:rsidR="0033655F" w:rsidRDefault="0033655F" w:rsidP="0033655F">
      <w:pPr>
        <w:pStyle w:val="Paragraphedeliste"/>
      </w:pPr>
    </w:p>
    <w:p w14:paraId="44811C2A" w14:textId="77777777" w:rsidR="0033655F" w:rsidRDefault="0033655F" w:rsidP="0033655F">
      <w:pPr>
        <w:ind w:left="720"/>
      </w:pPr>
    </w:p>
    <w:p w14:paraId="44811C2B" w14:textId="77777777" w:rsidR="0033655F" w:rsidRDefault="0033655F" w:rsidP="0033655F"/>
    <w:p w14:paraId="44811C2D" w14:textId="77777777" w:rsidR="0033655F" w:rsidRPr="0033655F" w:rsidRDefault="0033655F" w:rsidP="0033655F"/>
    <w:p w14:paraId="44811C2E" w14:textId="77777777" w:rsidR="00B97584" w:rsidRDefault="00B97584" w:rsidP="00B97584">
      <w:bookmarkStart w:id="0" w:name="_GoBack"/>
      <w:bookmarkEnd w:id="0"/>
    </w:p>
    <w:sectPr w:rsidR="00B97584" w:rsidSect="00E175E1">
      <w:headerReference w:type="default" r:id="rId9"/>
      <w:footerReference w:type="default" r:id="rId10"/>
      <w:pgSz w:w="11906" w:h="16838"/>
      <w:pgMar w:top="1014" w:right="907" w:bottom="1134" w:left="1021" w:header="68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86C4E" w14:textId="77777777" w:rsidR="00A36B26" w:rsidRDefault="00A36B26" w:rsidP="00C351A1">
      <w:pPr>
        <w:spacing w:line="240" w:lineRule="auto"/>
      </w:pPr>
      <w:r>
        <w:separator/>
      </w:r>
    </w:p>
  </w:endnote>
  <w:endnote w:type="continuationSeparator" w:id="0">
    <w:p w14:paraId="16178552" w14:textId="77777777" w:rsidR="00A36B26" w:rsidRDefault="00A36B26" w:rsidP="00C35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erPlus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right"/>
      <w:tblBorders>
        <w:top w:val="single" w:sz="6" w:space="0" w:color="404040" w:themeColor="text1" w:themeTint="BF"/>
        <w:left w:val="single" w:sz="6" w:space="0" w:color="404040" w:themeColor="text1" w:themeTint="BF"/>
        <w:bottom w:val="single" w:sz="6" w:space="0" w:color="404040" w:themeColor="text1" w:themeTint="BF"/>
        <w:right w:val="single" w:sz="6" w:space="0" w:color="404040" w:themeColor="text1" w:themeTint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9"/>
    </w:tblGrid>
    <w:tr w:rsidR="00980FBB" w14:paraId="44811C41" w14:textId="77777777" w:rsidTr="00980FBB">
      <w:trPr>
        <w:trHeight w:val="121"/>
        <w:jc w:val="right"/>
      </w:trPr>
      <w:tc>
        <w:tcPr>
          <w:tcW w:w="3679" w:type="dxa"/>
          <w:vAlign w:val="center"/>
        </w:tcPr>
        <w:p w14:paraId="1C2A9132" w14:textId="77777777" w:rsidR="00870CF9" w:rsidRDefault="00870CF9" w:rsidP="00870CF9">
          <w:pPr>
            <w:pStyle w:val="Pieddepage"/>
            <w:jc w:val="center"/>
            <w:rPr>
              <w:rStyle w:val="Accentuation"/>
              <w:color w:val="auto"/>
            </w:rPr>
          </w:pPr>
          <w:r>
            <w:rPr>
              <w:rStyle w:val="Accentuation"/>
              <w:color w:val="auto"/>
            </w:rPr>
            <w:t>Septembre 2018</w:t>
          </w:r>
        </w:p>
        <w:p w14:paraId="44811C40" w14:textId="5FB775AF" w:rsidR="00980FBB" w:rsidRPr="00871898" w:rsidRDefault="00870CF9" w:rsidP="00870CF9">
          <w:pPr>
            <w:pStyle w:val="Pieddepage"/>
            <w:jc w:val="center"/>
            <w:rPr>
              <w:rStyle w:val="Accentuation"/>
              <w:color w:val="auto"/>
            </w:rPr>
          </w:pPr>
          <w:r>
            <w:rPr>
              <w:rStyle w:val="Accentuation"/>
              <w:color w:val="auto"/>
            </w:rPr>
            <w:t xml:space="preserve"> annule et remplace la version précédente </w:t>
          </w:r>
        </w:p>
      </w:tc>
    </w:tr>
  </w:tbl>
  <w:p w14:paraId="44811C42" w14:textId="77777777" w:rsidR="00C351A1" w:rsidRDefault="00C351A1" w:rsidP="00980F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90468" w14:textId="77777777" w:rsidR="00A36B26" w:rsidRDefault="00A36B26" w:rsidP="00C351A1">
      <w:pPr>
        <w:spacing w:line="240" w:lineRule="auto"/>
      </w:pPr>
      <w:r>
        <w:separator/>
      </w:r>
    </w:p>
  </w:footnote>
  <w:footnote w:type="continuationSeparator" w:id="0">
    <w:p w14:paraId="7B2D43DC" w14:textId="77777777" w:rsidR="00A36B26" w:rsidRDefault="00A36B26" w:rsidP="00C35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809" w:type="dxa"/>
      <w:tblBorders>
        <w:top w:val="single" w:sz="6" w:space="0" w:color="404040" w:themeColor="text1" w:themeTint="BF"/>
        <w:left w:val="single" w:sz="6" w:space="0" w:color="404040" w:themeColor="text1" w:themeTint="BF"/>
        <w:bottom w:val="single" w:sz="6" w:space="0" w:color="404040" w:themeColor="text1" w:themeTint="BF"/>
        <w:right w:val="single" w:sz="6" w:space="0" w:color="404040" w:themeColor="text1" w:themeTint="BF"/>
        <w:insideH w:val="dotted" w:sz="4" w:space="0" w:color="7F7F7F" w:themeColor="text1" w:themeTint="80"/>
        <w:insideV w:val="single" w:sz="6" w:space="0" w:color="404040" w:themeColor="text1" w:themeTint="BF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162"/>
      <w:gridCol w:w="7797"/>
      <w:gridCol w:w="850"/>
    </w:tblGrid>
    <w:tr w:rsidR="00C351A1" w14:paraId="44811C36" w14:textId="77777777" w:rsidTr="00456304">
      <w:tc>
        <w:tcPr>
          <w:tcW w:w="1162" w:type="dxa"/>
          <w:vMerge w:val="restart"/>
          <w:tcMar>
            <w:left w:w="28" w:type="dxa"/>
            <w:right w:w="28" w:type="dxa"/>
          </w:tcMar>
          <w:vAlign w:val="center"/>
        </w:tcPr>
        <w:p w14:paraId="44811C33" w14:textId="77777777" w:rsidR="00C351A1" w:rsidRDefault="00F92B28" w:rsidP="00C351A1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44811C43" wp14:editId="44811C44">
                <wp:extent cx="601980" cy="601980"/>
                <wp:effectExtent l="0" t="0" r="7620" b="762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enli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top w:val="single" w:sz="6" w:space="0" w:color="404040" w:themeColor="text1" w:themeTint="BF"/>
            <w:bottom w:val="nil"/>
          </w:tcBorders>
          <w:vAlign w:val="center"/>
        </w:tcPr>
        <w:p w14:paraId="44811C34" w14:textId="77777777" w:rsidR="00C351A1" w:rsidRPr="004464A7" w:rsidRDefault="0033655F" w:rsidP="004464A7">
          <w:pPr>
            <w:pStyle w:val="Titre"/>
          </w:pPr>
          <w:r>
            <w:t>sorties scolaires sans nuitee</w:t>
          </w:r>
        </w:p>
      </w:tc>
      <w:tc>
        <w:tcPr>
          <w:tcW w:w="850" w:type="dxa"/>
          <w:vMerge w:val="restart"/>
          <w:vAlign w:val="center"/>
        </w:tcPr>
        <w:p w14:paraId="44811C35" w14:textId="5DC0610A" w:rsidR="00C351A1" w:rsidRPr="00456304" w:rsidRDefault="00456304" w:rsidP="00C351A1">
          <w:pPr>
            <w:pStyle w:val="En-tte"/>
            <w:rPr>
              <w:rFonts w:ascii="Berlin Sans FB Demi" w:hAnsi="Berlin Sans FB Demi"/>
              <w:b w:val="0"/>
              <w:szCs w:val="96"/>
            </w:rPr>
          </w:pPr>
          <w:r w:rsidRPr="00456304">
            <w:rPr>
              <w:rFonts w:ascii="Berlin Sans FB Demi" w:hAnsi="Berlin Sans FB Demi"/>
              <w:b w:val="0"/>
              <w:noProof/>
              <w:szCs w:val="96"/>
              <w:lang w:eastAsia="fr-FR"/>
            </w:rPr>
            <w:t>S1</w:t>
          </w:r>
        </w:p>
      </w:tc>
    </w:tr>
    <w:tr w:rsidR="00C351A1" w14:paraId="44811C3A" w14:textId="77777777" w:rsidTr="00456304">
      <w:trPr>
        <w:trHeight w:val="138"/>
      </w:trPr>
      <w:tc>
        <w:tcPr>
          <w:tcW w:w="1162" w:type="dxa"/>
          <w:vMerge/>
          <w:vAlign w:val="center"/>
        </w:tcPr>
        <w:p w14:paraId="44811C37" w14:textId="77777777" w:rsidR="00C351A1" w:rsidRDefault="00C351A1" w:rsidP="00C351A1">
          <w:pPr>
            <w:pStyle w:val="En-tte"/>
          </w:pPr>
        </w:p>
      </w:tc>
      <w:tc>
        <w:tcPr>
          <w:tcW w:w="7797" w:type="dxa"/>
          <w:tcBorders>
            <w:top w:val="nil"/>
            <w:bottom w:val="nil"/>
          </w:tcBorders>
          <w:vAlign w:val="center"/>
        </w:tcPr>
        <w:p w14:paraId="44811C38" w14:textId="77777777" w:rsidR="00C351A1" w:rsidRPr="00F92B28" w:rsidRDefault="00C351A1" w:rsidP="00C351A1">
          <w:pPr>
            <w:pStyle w:val="En-tte"/>
            <w:rPr>
              <w:b w:val="0"/>
              <w:caps/>
              <w:sz w:val="2"/>
            </w:rPr>
          </w:pPr>
        </w:p>
      </w:tc>
      <w:tc>
        <w:tcPr>
          <w:tcW w:w="850" w:type="dxa"/>
          <w:vMerge/>
          <w:vAlign w:val="center"/>
        </w:tcPr>
        <w:p w14:paraId="44811C39" w14:textId="77777777" w:rsidR="00C351A1" w:rsidRDefault="00C351A1" w:rsidP="00C351A1">
          <w:pPr>
            <w:pStyle w:val="En-tte"/>
          </w:pPr>
        </w:p>
      </w:tc>
    </w:tr>
    <w:tr w:rsidR="00C351A1" w14:paraId="44811C3E" w14:textId="77777777" w:rsidTr="00456304">
      <w:tc>
        <w:tcPr>
          <w:tcW w:w="1162" w:type="dxa"/>
          <w:vMerge/>
          <w:vAlign w:val="center"/>
        </w:tcPr>
        <w:p w14:paraId="44811C3B" w14:textId="77777777" w:rsidR="00C351A1" w:rsidRDefault="00C351A1" w:rsidP="00C351A1">
          <w:pPr>
            <w:pStyle w:val="En-tte"/>
          </w:pPr>
        </w:p>
      </w:tc>
      <w:tc>
        <w:tcPr>
          <w:tcW w:w="7797" w:type="dxa"/>
          <w:tcBorders>
            <w:top w:val="nil"/>
            <w:bottom w:val="single" w:sz="6" w:space="0" w:color="404040" w:themeColor="text1" w:themeTint="BF"/>
          </w:tcBorders>
          <w:vAlign w:val="center"/>
        </w:tcPr>
        <w:p w14:paraId="44811C3C" w14:textId="78A78769" w:rsidR="00C351A1" w:rsidRPr="00B831AD" w:rsidRDefault="007E7214" w:rsidP="00175B3B">
          <w:pPr>
            <w:pStyle w:val="Sous-titre"/>
            <w:rPr>
              <w:b w:val="0"/>
            </w:rPr>
          </w:pPr>
          <w:r w:rsidRPr="007E7214">
            <w:rPr>
              <w:b w:val="0"/>
              <w:sz w:val="24"/>
            </w:rPr>
            <w:t xml:space="preserve">fiche sortie régulière ou occasionnelle sans nuitée </w:t>
          </w:r>
          <w:r w:rsidR="00175B3B" w:rsidRPr="00175B3B">
            <w:rPr>
              <w:sz w:val="22"/>
            </w:rPr>
            <w:t>DSDEN60/18/A1</w:t>
          </w:r>
        </w:p>
      </w:tc>
      <w:tc>
        <w:tcPr>
          <w:tcW w:w="850" w:type="dxa"/>
          <w:vMerge/>
          <w:vAlign w:val="center"/>
        </w:tcPr>
        <w:p w14:paraId="44811C3D" w14:textId="77777777" w:rsidR="00C351A1" w:rsidRDefault="00C351A1" w:rsidP="00C351A1">
          <w:pPr>
            <w:pStyle w:val="En-tte"/>
          </w:pPr>
        </w:p>
      </w:tc>
    </w:tr>
  </w:tbl>
  <w:p w14:paraId="44811C3F" w14:textId="77777777" w:rsidR="00C351A1" w:rsidRPr="00E175E1" w:rsidRDefault="00C351A1" w:rsidP="00E175E1">
    <w:pPr>
      <w:pStyle w:val="En-tte"/>
      <w:jc w:val="both"/>
      <w:rPr>
        <w:rFonts w:asciiTheme="minorHAnsi" w:hAnsiTheme="minorHAnsi" w:cstheme="minorHAnsi"/>
        <w:sz w:val="4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5EB"/>
    <w:multiLevelType w:val="hybridMultilevel"/>
    <w:tmpl w:val="3AE49ACE"/>
    <w:lvl w:ilvl="0" w:tplc="AD08B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6EB1"/>
    <w:multiLevelType w:val="hybridMultilevel"/>
    <w:tmpl w:val="5E3ED956"/>
    <w:lvl w:ilvl="0" w:tplc="00B46B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123D"/>
    <w:multiLevelType w:val="hybridMultilevel"/>
    <w:tmpl w:val="B3CA0200"/>
    <w:lvl w:ilvl="0" w:tplc="D708DFD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02B88"/>
    <w:multiLevelType w:val="hybridMultilevel"/>
    <w:tmpl w:val="F6BC0C96"/>
    <w:lvl w:ilvl="0" w:tplc="EB5E23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65288"/>
    <w:multiLevelType w:val="hybridMultilevel"/>
    <w:tmpl w:val="DBD4E404"/>
    <w:lvl w:ilvl="0" w:tplc="2DB6E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402EE"/>
    <w:multiLevelType w:val="multilevel"/>
    <w:tmpl w:val="906CE93A"/>
    <w:styleLink w:val="Style1"/>
    <w:lvl w:ilvl="0">
      <w:start w:val="1"/>
      <w:numFmt w:val="upperRoman"/>
      <w:lvlText w:val="%1."/>
      <w:lvlJc w:val="left"/>
      <w:pPr>
        <w:ind w:left="170" w:hanging="17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27" w:firstLine="0"/>
      </w:pPr>
      <w:rPr>
        <w:rFonts w:ascii="Calibri" w:hAnsi="Calibri" w:hint="default"/>
        <w:sz w:val="28"/>
      </w:rPr>
    </w:lvl>
    <w:lvl w:ilvl="2">
      <w:start w:val="1"/>
      <w:numFmt w:val="upperLetter"/>
      <w:lvlText w:val="%3."/>
      <w:lvlJc w:val="left"/>
      <w:pPr>
        <w:tabs>
          <w:tab w:val="num" w:pos="680"/>
        </w:tabs>
        <w:ind w:left="624" w:hanging="57"/>
      </w:pPr>
      <w:rPr>
        <w:rFonts w:ascii="Calibri" w:hAnsi="Calibri" w:hint="default"/>
        <w:sz w:val="24"/>
      </w:rPr>
    </w:lvl>
    <w:lvl w:ilvl="3">
      <w:start w:val="1"/>
      <w:numFmt w:val="lowerRoman"/>
      <w:lvlText w:val="(%4)"/>
      <w:lvlJc w:val="left"/>
      <w:pPr>
        <w:ind w:left="1134" w:hanging="227"/>
      </w:pPr>
      <w:rPr>
        <w:rFonts w:ascii="Calibri" w:hAnsi="Calibri" w:hint="default"/>
        <w:sz w:val="24"/>
      </w:rPr>
    </w:lvl>
    <w:lvl w:ilvl="4">
      <w:start w:val="1"/>
      <w:numFmt w:val="lowerLetter"/>
      <w:lvlText w:val="(%5)"/>
      <w:lvlJc w:val="left"/>
      <w:pPr>
        <w:ind w:left="1418" w:hanging="171"/>
      </w:pPr>
      <w:rPr>
        <w:rFonts w:ascii="Calibri" w:hAnsi="Calibri" w:hint="default"/>
        <w:sz w:val="22"/>
      </w:rPr>
    </w:lvl>
    <w:lvl w:ilvl="5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  <w:sz w:val="20"/>
      </w:rPr>
    </w:lvl>
    <w:lvl w:ilvl="6">
      <w:start w:val="1"/>
      <w:numFmt w:val="bullet"/>
      <w:lvlText w:val=""/>
      <w:lvlJc w:val="left"/>
      <w:pPr>
        <w:ind w:left="2268" w:hanging="340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Text w:val=""/>
      <w:lvlJc w:val="left"/>
      <w:pPr>
        <w:ind w:left="2495" w:hanging="227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"/>
      <w:lvlJc w:val="left"/>
      <w:pPr>
        <w:tabs>
          <w:tab w:val="num" w:pos="2835"/>
        </w:tabs>
        <w:ind w:left="2778" w:hanging="170"/>
      </w:pPr>
      <w:rPr>
        <w:rFonts w:ascii="Symbol" w:hAnsi="Symbol" w:hint="default"/>
        <w:color w:val="auto"/>
        <w:sz w:val="20"/>
      </w:rPr>
    </w:lvl>
  </w:abstractNum>
  <w:abstractNum w:abstractNumId="6" w15:restartNumberingAfterBreak="0">
    <w:nsid w:val="5243271B"/>
    <w:multiLevelType w:val="hybridMultilevel"/>
    <w:tmpl w:val="E8A2313C"/>
    <w:lvl w:ilvl="0" w:tplc="6132402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07725"/>
    <w:multiLevelType w:val="hybridMultilevel"/>
    <w:tmpl w:val="1958CBFC"/>
    <w:lvl w:ilvl="0" w:tplc="518E2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23B7A"/>
    <w:multiLevelType w:val="hybridMultilevel"/>
    <w:tmpl w:val="3772996A"/>
    <w:lvl w:ilvl="0" w:tplc="3530BA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D2D56"/>
    <w:multiLevelType w:val="hybridMultilevel"/>
    <w:tmpl w:val="702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A1"/>
    <w:rsid w:val="000151B8"/>
    <w:rsid w:val="000255C5"/>
    <w:rsid w:val="0002626D"/>
    <w:rsid w:val="00036529"/>
    <w:rsid w:val="00053EAF"/>
    <w:rsid w:val="00084996"/>
    <w:rsid w:val="00095FA3"/>
    <w:rsid w:val="001171B0"/>
    <w:rsid w:val="00175B3B"/>
    <w:rsid w:val="001E0A9E"/>
    <w:rsid w:val="00277A40"/>
    <w:rsid w:val="002B4D3F"/>
    <w:rsid w:val="0033655F"/>
    <w:rsid w:val="00375206"/>
    <w:rsid w:val="003B1C83"/>
    <w:rsid w:val="004464A7"/>
    <w:rsid w:val="00456304"/>
    <w:rsid w:val="0049704D"/>
    <w:rsid w:val="005056D9"/>
    <w:rsid w:val="00550FE1"/>
    <w:rsid w:val="0055434E"/>
    <w:rsid w:val="00627B87"/>
    <w:rsid w:val="006C59E4"/>
    <w:rsid w:val="006E5925"/>
    <w:rsid w:val="007A23A1"/>
    <w:rsid w:val="007A3049"/>
    <w:rsid w:val="007E7214"/>
    <w:rsid w:val="00870CF9"/>
    <w:rsid w:val="00871898"/>
    <w:rsid w:val="0087785D"/>
    <w:rsid w:val="008E54C5"/>
    <w:rsid w:val="00980FBB"/>
    <w:rsid w:val="009F169F"/>
    <w:rsid w:val="00A36B26"/>
    <w:rsid w:val="00A50874"/>
    <w:rsid w:val="00A93B41"/>
    <w:rsid w:val="00AD18E5"/>
    <w:rsid w:val="00B831AD"/>
    <w:rsid w:val="00B92429"/>
    <w:rsid w:val="00B97584"/>
    <w:rsid w:val="00BA1D13"/>
    <w:rsid w:val="00C1258B"/>
    <w:rsid w:val="00C351A1"/>
    <w:rsid w:val="00C62BB1"/>
    <w:rsid w:val="00D95DD8"/>
    <w:rsid w:val="00DB2920"/>
    <w:rsid w:val="00DB3633"/>
    <w:rsid w:val="00E0552E"/>
    <w:rsid w:val="00E175E1"/>
    <w:rsid w:val="00EB11B0"/>
    <w:rsid w:val="00F5425B"/>
    <w:rsid w:val="00F770D1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11C15"/>
  <w15:docId w15:val="{B0EB8CC0-497D-4103-9039-CBFA49D9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29"/>
    <w:pPr>
      <w:spacing w:after="0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655F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caps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0A9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0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0A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0A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0A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0A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0A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0A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55F"/>
    <w:rPr>
      <w:rFonts w:ascii="Calibri" w:eastAsiaTheme="majorEastAsia" w:hAnsi="Calibri" w:cstheme="majorBidi"/>
      <w:b/>
      <w:bCs/>
      <w:caps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E0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E0A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1E0A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1E0A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1E0A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E0A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E0A9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E0A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E0A9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36529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="Calibri" w:eastAsiaTheme="majorEastAsia" w:hAnsi="Calibri" w:cstheme="majorBidi"/>
      <w:b/>
      <w:caps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36529"/>
    <w:rPr>
      <w:rFonts w:ascii="Calibri" w:eastAsiaTheme="majorEastAsia" w:hAnsi="Calibri" w:cstheme="majorBidi"/>
      <w:b/>
      <w:caps/>
      <w:spacing w:val="5"/>
      <w:kern w:val="28"/>
      <w:sz w:val="3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6529"/>
    <w:pPr>
      <w:numPr>
        <w:ilvl w:val="1"/>
      </w:numPr>
      <w:jc w:val="center"/>
    </w:pPr>
    <w:rPr>
      <w:rFonts w:ascii="Calibri" w:eastAsiaTheme="majorEastAsia" w:hAnsi="Calibri" w:cstheme="majorBidi"/>
      <w:b/>
      <w:iCs/>
      <w:color w:val="28466A"/>
      <w:spacing w:val="15"/>
      <w:sz w:val="3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6529"/>
    <w:rPr>
      <w:rFonts w:ascii="Calibri" w:eastAsiaTheme="majorEastAsia" w:hAnsi="Calibri" w:cstheme="majorBidi"/>
      <w:b/>
      <w:iCs/>
      <w:color w:val="28466A"/>
      <w:spacing w:val="15"/>
      <w:sz w:val="32"/>
      <w:szCs w:val="24"/>
    </w:rPr>
  </w:style>
  <w:style w:type="character" w:styleId="lev">
    <w:name w:val="Strong"/>
    <w:basedOn w:val="Policepardfaut"/>
    <w:uiPriority w:val="22"/>
    <w:qFormat/>
    <w:rsid w:val="001E0A9E"/>
    <w:rPr>
      <w:b/>
      <w:bCs/>
    </w:rPr>
  </w:style>
  <w:style w:type="character" w:styleId="Accentuation">
    <w:name w:val="Emphasis"/>
    <w:basedOn w:val="Policepardfaut"/>
    <w:uiPriority w:val="20"/>
    <w:qFormat/>
    <w:rsid w:val="00036529"/>
    <w:rPr>
      <w:rFonts w:ascii="Calibri" w:hAnsi="Calibri"/>
      <w:i/>
      <w:iCs/>
      <w:color w:val="4D4D4D"/>
      <w:sz w:val="20"/>
    </w:rPr>
  </w:style>
  <w:style w:type="paragraph" w:styleId="Sansinterligne">
    <w:name w:val="No Spacing"/>
    <w:uiPriority w:val="1"/>
    <w:qFormat/>
    <w:rsid w:val="001E0A9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36529"/>
    <w:pPr>
      <w:ind w:left="708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E0A9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E0A9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0A9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1E0A9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1E0A9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1E0A9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E0A9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E0A9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0A9E"/>
    <w:pPr>
      <w:outlineLvl w:val="9"/>
    </w:pPr>
  </w:style>
  <w:style w:type="numbering" w:customStyle="1" w:styleId="Style1">
    <w:name w:val="Style1"/>
    <w:uiPriority w:val="99"/>
    <w:rsid w:val="001E0A9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036529"/>
    <w:pPr>
      <w:tabs>
        <w:tab w:val="center" w:pos="4536"/>
        <w:tab w:val="right" w:pos="9072"/>
      </w:tabs>
      <w:spacing w:line="240" w:lineRule="auto"/>
      <w:jc w:val="center"/>
    </w:pPr>
    <w:rPr>
      <w:rFonts w:ascii="PlayerPlus" w:hAnsi="PlayerPlus"/>
      <w:b/>
      <w:sz w:val="96"/>
    </w:rPr>
  </w:style>
  <w:style w:type="character" w:customStyle="1" w:styleId="En-tteCar">
    <w:name w:val="En-tête Car"/>
    <w:basedOn w:val="Policepardfaut"/>
    <w:link w:val="En-tte"/>
    <w:uiPriority w:val="99"/>
    <w:rsid w:val="00036529"/>
    <w:rPr>
      <w:rFonts w:ascii="PlayerPlus" w:hAnsi="PlayerPlus"/>
      <w:b/>
      <w:sz w:val="96"/>
    </w:rPr>
  </w:style>
  <w:style w:type="paragraph" w:styleId="Pieddepage">
    <w:name w:val="footer"/>
    <w:basedOn w:val="Normal"/>
    <w:link w:val="PieddepageCar"/>
    <w:uiPriority w:val="99"/>
    <w:unhideWhenUsed/>
    <w:rsid w:val="00C351A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1A1"/>
  </w:style>
  <w:style w:type="table" w:styleId="Grilledutableau">
    <w:name w:val="Table Grid"/>
    <w:basedOn w:val="TableauNormal"/>
    <w:uiPriority w:val="59"/>
    <w:rsid w:val="00C3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2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B28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75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amiens.fr/dsden60/418-sorties-scolair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C14ABC5-AFC7-464A-970C-1F950566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B3P</dc:creator>
  <cp:lastModifiedBy>Utilisateur Windows</cp:lastModifiedBy>
  <cp:revision>2</cp:revision>
  <cp:lastPrinted>2012-10-19T15:29:00Z</cp:lastPrinted>
  <dcterms:created xsi:type="dcterms:W3CDTF">2018-09-05T11:58:00Z</dcterms:created>
  <dcterms:modified xsi:type="dcterms:W3CDTF">2018-09-05T11:58:00Z</dcterms:modified>
</cp:coreProperties>
</file>